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DD3DA1" w:rsidRDefault="009166C5" w:rsidP="009C7E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БАКШЕЕВСКОГО СЕЛЬСКОГО ПОСЕЛЕНИЯ</w:t>
      </w:r>
    </w:p>
    <w:p w:rsidR="009166C5" w:rsidRDefault="009166C5" w:rsidP="009C7E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ТВЕРИЗСКОГО МУНИЦИПАЛЬНОГО РАЙОНА</w:t>
      </w:r>
    </w:p>
    <w:p w:rsidR="009166C5" w:rsidRPr="001A49B4" w:rsidRDefault="009166C5" w:rsidP="009C7E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ОМСКОЙ ОБЛАСТИ</w:t>
      </w: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6C5" w:rsidRPr="001A49B4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3DA1" w:rsidRDefault="00DD3DA1" w:rsidP="00DD3D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9166C5" w:rsidRPr="001A49B4" w:rsidRDefault="009166C5" w:rsidP="00DD3D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3DA1" w:rsidRPr="001A49B4" w:rsidRDefault="00DD3DA1" w:rsidP="00DD3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3DA1" w:rsidRDefault="009166C5" w:rsidP="00DD3DA1">
      <w:pPr>
        <w:tabs>
          <w:tab w:val="left" w:pos="664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09.01.2025                                                 </w:t>
      </w:r>
      <w:r w:rsidR="009C7E8C"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9C7E8C"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4E48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3-п</w:t>
      </w:r>
    </w:p>
    <w:p w:rsidR="009166C5" w:rsidRPr="001A49B4" w:rsidRDefault="009166C5" w:rsidP="00DD3DA1">
      <w:pPr>
        <w:tabs>
          <w:tab w:val="left" w:pos="664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DA1" w:rsidRPr="001A49B4" w:rsidRDefault="00DD3DA1" w:rsidP="00DD3DA1">
      <w:pPr>
        <w:tabs>
          <w:tab w:val="left" w:pos="664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целевой программы «Энергосбережение</w:t>
      </w:r>
    </w:p>
    <w:p w:rsidR="009166C5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повышение энергетической эффективности  на территории </w:t>
      </w:r>
      <w:proofErr w:type="spellStart"/>
      <w:r w:rsidR="009C7E8C"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Бакшеевского</w:t>
      </w:r>
      <w:proofErr w:type="spellEnd"/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9C7E8C"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Тевризского</w:t>
      </w:r>
      <w:proofErr w:type="spellEnd"/>
      <w:r w:rsidR="009C7E8C"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Омской области</w:t>
      </w: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9166C5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9166C5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3DA1" w:rsidRPr="001A49B4" w:rsidRDefault="00DD3DA1" w:rsidP="00DD3DA1">
      <w:pPr>
        <w:tabs>
          <w:tab w:val="left" w:pos="664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в редакции Федерального закона от 28.12.2013 года №399-ФЗ), приказом Министерства энергетики РФ от 30 июня 2014 года №398 «Об утверждении требований к форме программ в области энергосбережения и повышения энергетической эффективности организаций с  участием государства и муниципального образования, организаций, осуществляющих регулируемые виды деятельности и отчетности о ходе их реализации», приказом Министерства энергетики РФ от 30 июня 2014 №399 «Об утверждении методики расчета значений целевых показателей в области энергосбережения и повышения энергетической эффективности</w:t>
      </w: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числе в сопоставимых условиях», </w:t>
      </w:r>
      <w:r w:rsidR="009C7E8C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</w:t>
      </w:r>
      <w:r w:rsidR="009C7E8C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7E8C" w:rsidRPr="001A49B4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r w:rsidR="009C7E8C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7E8C" w:rsidRPr="001A49B4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9C7E8C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</w:t>
      </w:r>
      <w:r w:rsidR="00A576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C7E8C" w:rsidRPr="001A49B4">
        <w:rPr>
          <w:rFonts w:ascii="Times New Roman" w:eastAsia="Times New Roman" w:hAnsi="Times New Roman"/>
          <w:sz w:val="24"/>
          <w:szCs w:val="24"/>
          <w:lang w:eastAsia="ru-RU"/>
        </w:rPr>
        <w:t>ципального района Омской области,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</w:t>
      </w:r>
      <w:r w:rsidR="009166C5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3DA1" w:rsidRPr="001A49B4" w:rsidRDefault="00DD3DA1" w:rsidP="00DD3DA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D3DA1" w:rsidRPr="009166C5" w:rsidRDefault="00DD3DA1" w:rsidP="009166C5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целевую программу «Энергосбережение</w:t>
      </w:r>
      <w:r w:rsidR="009166C5"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повышение энергетической эффективности на территории </w:t>
      </w:r>
      <w:proofErr w:type="spellStart"/>
      <w:r w:rsidR="009C7E8C" w:rsidRPr="009166C5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C7E8C" w:rsidRPr="009166C5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9C7E8C"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 </w:t>
      </w: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 согласно приложению.</w:t>
      </w:r>
    </w:p>
    <w:p w:rsidR="00DD3DA1" w:rsidRPr="001A49B4" w:rsidRDefault="009C7E8C" w:rsidP="001A49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в ходе реализации муниципальной целевой программы  «Энергосбережение и повышение энергетической эффективности на территории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области»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  и  субсидий из бюджетов иных уровней. </w:t>
      </w:r>
    </w:p>
    <w:p w:rsidR="009166C5" w:rsidRDefault="009C7E8C" w:rsidP="009166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от 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12.08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A49B4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="001A49B4" w:rsidRPr="001A49B4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« Об утверждении</w:t>
      </w:r>
      <w:r w:rsidR="001A49B4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целевой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 w:rsidR="001A49B4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 э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>нергосбережени</w:t>
      </w:r>
      <w:r w:rsidR="001A49B4" w:rsidRPr="001A49B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и повышени</w:t>
      </w:r>
      <w:r w:rsidR="001A49B4" w:rsidRPr="001A49B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энергетической эффективности  на территории </w:t>
      </w:r>
      <w:proofErr w:type="spellStart"/>
      <w:r w:rsidR="001A49B4" w:rsidRPr="001A49B4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1A49B4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на</w:t>
      </w:r>
      <w:r w:rsidR="00A57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считать утратившим силу.</w:t>
      </w:r>
    </w:p>
    <w:p w:rsidR="009166C5" w:rsidRDefault="009166C5" w:rsidP="009166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9166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9166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9166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r w:rsidRPr="009166C5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Pr="009166C5">
        <w:rPr>
          <w:rFonts w:ascii="Times New Roman" w:hAnsi="Times New Roman"/>
          <w:sz w:val="24"/>
          <w:szCs w:val="24"/>
        </w:rPr>
        <w:t>Бакшеевского</w:t>
      </w:r>
      <w:proofErr w:type="spellEnd"/>
      <w:r w:rsidRPr="009166C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166C5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166C5">
        <w:rPr>
          <w:rFonts w:ascii="Times New Roman" w:hAnsi="Times New Roman"/>
          <w:sz w:val="24"/>
          <w:szCs w:val="24"/>
        </w:rPr>
        <w:t xml:space="preserve"> муниципального района Омской области и  на официальном сайте </w:t>
      </w:r>
      <w:proofErr w:type="spellStart"/>
      <w:r w:rsidRPr="009166C5">
        <w:rPr>
          <w:rFonts w:ascii="Times New Roman" w:hAnsi="Times New Roman"/>
          <w:sz w:val="24"/>
          <w:szCs w:val="24"/>
        </w:rPr>
        <w:t>Бакшеевского</w:t>
      </w:r>
      <w:proofErr w:type="spellEnd"/>
      <w:r w:rsidRPr="009166C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166C5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166C5"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9166C5" w:rsidRPr="009166C5" w:rsidRDefault="009166C5" w:rsidP="009166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166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66C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66C5" w:rsidRPr="009166C5" w:rsidRDefault="009166C5" w:rsidP="009166C5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DA1" w:rsidRPr="001A49B4" w:rsidRDefault="00DD3DA1" w:rsidP="009166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1A49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66C5" w:rsidRPr="009166C5" w:rsidRDefault="009166C5" w:rsidP="001A49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Pr="009166C5" w:rsidRDefault="00DD3DA1" w:rsidP="001A49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9166C5" w:rsidRPr="009166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9166C5" w:rsidRPr="009166C5" w:rsidRDefault="001A49B4" w:rsidP="001A49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9166C5"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</w:p>
    <w:p w:rsidR="001A49B4" w:rsidRPr="009166C5" w:rsidRDefault="001A49B4" w:rsidP="001A49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DD3DA1" w:rsidRPr="009166C5" w:rsidRDefault="001A49B4" w:rsidP="001A49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D3DA1" w:rsidRPr="009166C5" w:rsidSect="009166C5">
          <w:pgSz w:w="11906" w:h="16838"/>
          <w:pgMar w:top="993" w:right="850" w:bottom="1134" w:left="1701" w:header="708" w:footer="708" w:gutter="0"/>
          <w:cols w:space="720"/>
        </w:sectPr>
      </w:pPr>
      <w:r w:rsidRPr="009166C5">
        <w:rPr>
          <w:rFonts w:ascii="Times New Roman" w:eastAsia="Times New Roman" w:hAnsi="Times New Roman"/>
          <w:sz w:val="24"/>
          <w:szCs w:val="24"/>
          <w:lang w:eastAsia="ru-RU"/>
        </w:rPr>
        <w:t>Омской области</w:t>
      </w:r>
      <w:r w:rsidR="00DD3DA1"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DD3DA1" w:rsidRP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6C5" w:rsidRPr="009166C5">
        <w:rPr>
          <w:rFonts w:ascii="Times New Roman" w:eastAsia="Times New Roman" w:hAnsi="Times New Roman"/>
          <w:sz w:val="24"/>
          <w:szCs w:val="24"/>
          <w:lang w:eastAsia="ru-RU"/>
        </w:rPr>
        <w:t>А.М. Захарова</w:t>
      </w:r>
    </w:p>
    <w:tbl>
      <w:tblPr>
        <w:tblW w:w="10008" w:type="dxa"/>
        <w:tblLayout w:type="fixed"/>
        <w:tblLook w:val="0000"/>
      </w:tblPr>
      <w:tblGrid>
        <w:gridCol w:w="3888"/>
        <w:gridCol w:w="6120"/>
      </w:tblGrid>
      <w:tr w:rsidR="00DD3DA1" w:rsidRPr="00EC5850" w:rsidTr="009166C5">
        <w:tc>
          <w:tcPr>
            <w:tcW w:w="3888" w:type="dxa"/>
          </w:tcPr>
          <w:p w:rsidR="00DD3DA1" w:rsidRPr="00EC5850" w:rsidRDefault="00DD3DA1" w:rsidP="003A7D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DD3DA1" w:rsidRPr="00EC5850" w:rsidRDefault="00DD3DA1" w:rsidP="003A7D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</w:t>
            </w:r>
          </w:p>
          <w:p w:rsidR="00DD3DA1" w:rsidRPr="00EC5850" w:rsidRDefault="00DD3DA1" w:rsidP="003A7D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постановлению Администрации</w:t>
            </w:r>
          </w:p>
          <w:p w:rsidR="00DD3DA1" w:rsidRPr="00EC5850" w:rsidRDefault="00DD3DA1" w:rsidP="003A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E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3DA1" w:rsidRPr="00EC5850" w:rsidRDefault="00DD3DA1" w:rsidP="003A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</w:t>
            </w:r>
            <w:r w:rsidRPr="00E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3-п</w:t>
            </w:r>
          </w:p>
          <w:p w:rsidR="00DD3DA1" w:rsidRPr="00EC5850" w:rsidRDefault="00DD3DA1" w:rsidP="003A7D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ЦЕЛЕВАЯ ПРОГРАММА</w:t>
      </w: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 «ЭНЕРГОСБЕРЕЖЕНИЕ И ПОВЫШЕНИЕ ЭНЕРГЕТИЧЕСКОЙ ЭФФЕКТИВНОСТИ НА ТЕРРИТОРИИ  </w:t>
      </w:r>
      <w:r w:rsid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БАКШЕЕВСКОГО </w:t>
      </w: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r w:rsid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ТЕВРИЗСКОГО МУНИЦИПАЛЬНОГО РАЙОНА ОМСКОЙ ОБЛАСТИ </w:t>
      </w: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9166C5">
        <w:rPr>
          <w:rFonts w:ascii="Times New Roman" w:eastAsia="Times New Roman" w:hAnsi="Times New Roman"/>
          <w:b/>
          <w:sz w:val="24"/>
          <w:szCs w:val="24"/>
          <w:lang w:eastAsia="ru-RU"/>
        </w:rPr>
        <w:t>25-2030</w:t>
      </w: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DD3DA1" w:rsidRPr="00EC5850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DD3DA1" w:rsidRPr="00EC5850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850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1. Паспорт Программы.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2. Общие сведения.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3. Содержание проблемы.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4. Цели и задачи Программы.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 Программы.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Программы.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5. Сроки реализации Программы.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6. Оценка социально-экономической эффективности реализации Программы.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7. Механизм реализации и порядок </w:t>
      </w: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реализации Программы.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8. Перечень мероприятий.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Приложения: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Приложение 1. Перечень мероприятий муниципальной целевой программы «Энергосбережения и повышения энергетической эффективности на территории   </w:t>
      </w:r>
      <w:proofErr w:type="spellStart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 на 20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25-2030 </w:t>
      </w:r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г.г.»</w:t>
      </w: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6C5" w:rsidRDefault="009166C5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Паспорт программы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687"/>
        <w:gridCol w:w="6379"/>
      </w:tblGrid>
      <w:tr w:rsidR="00DD3DA1" w:rsidRPr="001A49B4" w:rsidTr="003A7DAF"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Муниципальная целевая программа «Энергосбережение и повышение энергетической эффективности на территории</w:t>
            </w:r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Омской области на 20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г.г.»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3DA1" w:rsidRPr="001A49B4" w:rsidRDefault="00DD3DA1" w:rsidP="003A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Программа)</w:t>
            </w:r>
          </w:p>
          <w:p w:rsidR="00DD3DA1" w:rsidRPr="001A49B4" w:rsidRDefault="00DD3DA1" w:rsidP="003A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379" w:type="dxa"/>
          </w:tcPr>
          <w:p w:rsidR="009166C5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 (в редакции Федерального закона от 28.12.2013 года №399-ФЗ),</w:t>
            </w:r>
          </w:p>
          <w:p w:rsidR="009166C5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приказ Министерства энергетики РФ от 30 июня 2014 года №398 «Об утверждении требований к форме программ в области энергосбережения и повышения энергетической эффективности организаций с  участием государства и муниципального образования, организаций, осуществляющих регулируемые виды деятельности и отчетности о ходе их реализации», </w:t>
            </w:r>
          </w:p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-приказ Министерства энергетики РФ от 30 июня 2014 №399 «Об утверждении методики расчета значений целевых показателей в области энергосбережения и повышен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энергетической эффективности,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в сопоставимых условиях»</w:t>
            </w:r>
          </w:p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687" w:type="dxa"/>
          </w:tcPr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D3DA1" w:rsidRPr="001A49B4" w:rsidRDefault="00DD3DA1" w:rsidP="003A7DAF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79" w:type="dxa"/>
          </w:tcPr>
          <w:p w:rsidR="00DD3DA1" w:rsidRPr="001A49B4" w:rsidRDefault="00DD3DA1" w:rsidP="003A7DAF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DF3B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Бакшеевского</w:t>
            </w:r>
            <w:proofErr w:type="spellEnd"/>
            <w:r w:rsidR="00DF3B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сельского поселения </w:t>
            </w:r>
            <w:r w:rsidR="00DF3B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DF3B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DD3DA1" w:rsidRPr="001A49B4" w:rsidRDefault="00DD3DA1" w:rsidP="003A7DAF">
            <w:pPr>
              <w:suppressAutoHyphens/>
              <w:autoSpaceDE w:val="0"/>
              <w:snapToGrid w:val="0"/>
              <w:spacing w:after="0" w:line="228" w:lineRule="auto"/>
              <w:ind w:left="231" w:firstLine="360"/>
              <w:jc w:val="both"/>
              <w:rPr>
                <w:rFonts w:ascii="Times New Roman" w:eastAsia="Arial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379" w:type="dxa"/>
          </w:tcPr>
          <w:p w:rsidR="00DD3DA1" w:rsidRPr="001A49B4" w:rsidRDefault="00DD3DA1" w:rsidP="003A7D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целью Программы являются  повышение энергетической эффективности при передаче и потреблении энергетических ресурсов в </w:t>
            </w:r>
            <w:proofErr w:type="spellStart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Бакшеевском</w:t>
            </w:r>
            <w:proofErr w:type="spellEnd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создание условий для перевода экономики и бюджетной сферы муниципального образования на энергосберегающий путь развития:</w:t>
            </w:r>
          </w:p>
          <w:p w:rsidR="00DD3DA1" w:rsidRPr="001A49B4" w:rsidRDefault="00DD3DA1" w:rsidP="003A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A4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нагрузки на бюджет по оплате энергоносителей, улучшение среды проживания;</w:t>
            </w:r>
          </w:p>
          <w:p w:rsidR="00DD3DA1" w:rsidRPr="001A49B4" w:rsidRDefault="00DD3DA1" w:rsidP="003A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16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DD3DA1" w:rsidRPr="001A49B4" w:rsidRDefault="00DD3DA1" w:rsidP="003A7D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2687" w:type="dxa"/>
          </w:tcPr>
          <w:p w:rsidR="00DD3DA1" w:rsidRPr="001A49B4" w:rsidRDefault="00DD3DA1" w:rsidP="003A7DAF">
            <w:pPr>
              <w:suppressAutoHyphens/>
              <w:autoSpaceDE w:val="0"/>
              <w:snapToGrid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DD3DA1" w:rsidRPr="001A49B4" w:rsidRDefault="00DD3DA1" w:rsidP="003A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Программы:</w:t>
            </w:r>
            <w:r w:rsidRPr="001A49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3DA1" w:rsidRPr="001A49B4" w:rsidRDefault="00DD3DA1" w:rsidP="003A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энергоресурсо</w:t>
            </w:r>
            <w:proofErr w:type="spellEnd"/>
            <w:proofErr w:type="gramStart"/>
            <w:r w:rsidRPr="001A49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бережения</w:t>
            </w:r>
            <w:proofErr w:type="spell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D3DA1" w:rsidRPr="001A49B4" w:rsidRDefault="00DD3DA1" w:rsidP="003A7D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 передаче и потреблении энергетических ресурсов, их мониторинга, а 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также сбора и анализа информации об энергоемкости экономики территории;</w:t>
            </w:r>
          </w:p>
          <w:p w:rsidR="00DD3DA1" w:rsidRPr="001A49B4" w:rsidRDefault="00DD3DA1" w:rsidP="003A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энергетических обследований;</w:t>
            </w:r>
          </w:p>
          <w:p w:rsidR="00DD3DA1" w:rsidRPr="001A49B4" w:rsidRDefault="00DD3DA1" w:rsidP="003A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DD3DA1" w:rsidRPr="001A49B4" w:rsidRDefault="00DD3DA1" w:rsidP="003A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внедрение </w:t>
            </w:r>
            <w:proofErr w:type="spell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 (оборудования и технологий) на объектах муниципальной собственности;</w:t>
            </w:r>
          </w:p>
          <w:p w:rsidR="00DD3DA1" w:rsidRPr="001A49B4" w:rsidRDefault="00DD3DA1" w:rsidP="009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основных фондов; </w:t>
            </w:r>
          </w:p>
          <w:p w:rsidR="00DD3DA1" w:rsidRPr="001A49B4" w:rsidRDefault="00DD3DA1" w:rsidP="009166C5">
            <w:pPr>
              <w:tabs>
                <w:tab w:val="left" w:pos="169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  <w:p w:rsidR="00DD3DA1" w:rsidRPr="001A49B4" w:rsidRDefault="00DD3DA1" w:rsidP="003A7DAF">
            <w:pPr>
              <w:tabs>
                <w:tab w:val="left" w:pos="169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379" w:type="dxa"/>
          </w:tcPr>
          <w:p w:rsidR="00DD3DA1" w:rsidRPr="001A49B4" w:rsidRDefault="00DD3DA1" w:rsidP="003A7DAF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экономии топливно-энергетических ресурсов;</w:t>
            </w:r>
          </w:p>
          <w:p w:rsidR="00DD3DA1" w:rsidRPr="001A49B4" w:rsidRDefault="00DD3DA1" w:rsidP="003A7D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 муниципальных учреждений, в которых проведены энергетические обследования;</w:t>
            </w:r>
          </w:p>
          <w:p w:rsidR="00DD3DA1" w:rsidRPr="001A49B4" w:rsidRDefault="00DD3DA1" w:rsidP="003A7D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доля муниципальных 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учреждений,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которых установлены лимиты потребления энергоресурсов;</w:t>
            </w:r>
          </w:p>
          <w:p w:rsidR="00DD3DA1" w:rsidRPr="001A49B4" w:rsidRDefault="00DD3DA1" w:rsidP="003A7DA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расчетов потребителей муниципальной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бюджетной сферы, производимых по показаниям  приборов учета;</w:t>
            </w:r>
          </w:p>
          <w:p w:rsidR="009166C5" w:rsidRDefault="00DD3DA1" w:rsidP="00916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у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становленных  энергосберегающих св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етильников в системе наружного освещения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D3DA1" w:rsidRPr="001A49B4" w:rsidRDefault="00DD3DA1" w:rsidP="00916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потребления электроэнергии системой наружного освещения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</w:p>
        </w:tc>
        <w:tc>
          <w:tcPr>
            <w:tcW w:w="6379" w:type="dxa"/>
          </w:tcPr>
          <w:p w:rsidR="00DD3DA1" w:rsidRPr="001A49B4" w:rsidRDefault="00DD3DA1" w:rsidP="003A7DAF">
            <w:pPr>
              <w:suppressAutoHyphens/>
              <w:autoSpaceDE w:val="0"/>
              <w:snapToGrid w:val="0"/>
              <w:spacing w:after="0" w:line="240" w:lineRule="auto"/>
              <w:ind w:left="231" w:firstLine="36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DD3DA1" w:rsidRPr="001A49B4" w:rsidRDefault="00DD3DA1" w:rsidP="009166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  <w:r w:rsidR="009166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25</w:t>
            </w: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-20</w:t>
            </w:r>
            <w:r w:rsidR="009166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6379" w:type="dxa"/>
          </w:tcPr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Приложение:  «Перечень мероприятий муниципальной целевой программы «Энергосбережения и повышения энергетической эффективности на территории </w:t>
            </w:r>
            <w:proofErr w:type="spellStart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Омской области на 20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1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D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г.г.» </w:t>
            </w:r>
          </w:p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379" w:type="dxa"/>
          </w:tcPr>
          <w:p w:rsidR="00DD3DA1" w:rsidRPr="001A49B4" w:rsidRDefault="00DD3DA1" w:rsidP="003A7D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DD3DA1" w:rsidRPr="001A49B4" w:rsidRDefault="00DD3DA1" w:rsidP="003A7D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Бюджет области (при наличии </w:t>
            </w:r>
            <w:proofErr w:type="spellStart"/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);</w:t>
            </w:r>
          </w:p>
          <w:p w:rsidR="00DD3DA1" w:rsidRPr="001A49B4" w:rsidRDefault="00DD3DA1" w:rsidP="009166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Бюджет </w:t>
            </w:r>
            <w:proofErr w:type="spellStart"/>
            <w:r w:rsidR="00DF3B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Бакшеевского</w:t>
            </w:r>
            <w:proofErr w:type="spellEnd"/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поселении</w:t>
            </w:r>
            <w:proofErr w:type="gramEnd"/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20</w:t>
            </w:r>
            <w:r w:rsidR="009166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25</w:t>
            </w: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-20</w:t>
            </w:r>
            <w:r w:rsidR="009166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  <w:r w:rsidRPr="001A49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годы; иные источники финансирования, не противоречащие законодательству РФ</w:t>
            </w:r>
          </w:p>
        </w:tc>
      </w:tr>
      <w:tr w:rsidR="00DD3DA1" w:rsidRPr="001A49B4" w:rsidTr="003A7DAF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687" w:type="dxa"/>
          </w:tcPr>
          <w:p w:rsidR="00DD3DA1" w:rsidRPr="001A49B4" w:rsidRDefault="00DD3DA1" w:rsidP="003A7D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переход на приборный учет при расчетах;</w:t>
            </w:r>
          </w:p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сокращение расходов  электрической энергии в муниципальных зданиях;</w:t>
            </w:r>
          </w:p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экономия электрической энергии в системах наружного освещения;</w:t>
            </w:r>
          </w:p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в органах местного самоуправления актов энергетических обследований  на уровне 100 процентов от общего количества зданий;</w:t>
            </w:r>
          </w:p>
          <w:p w:rsidR="009166C5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сокращение удельных показателей энергопотребления; </w:t>
            </w:r>
          </w:p>
          <w:p w:rsidR="00DD3DA1" w:rsidRPr="001A49B4" w:rsidRDefault="00DD3DA1" w:rsidP="003A7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заинтересованности в энергосбережении;</w:t>
            </w:r>
          </w:p>
          <w:p w:rsidR="00DD3DA1" w:rsidRPr="001A49B4" w:rsidRDefault="009166C5" w:rsidP="003A7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D3DA1"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муниципальной нормативно-правовой базы по энергосбережению и стимулированию повышения </w:t>
            </w:r>
            <w:proofErr w:type="spellStart"/>
            <w:r w:rsidR="00DD3DA1"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DD3DA1"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Общие сведения</w:t>
      </w:r>
    </w:p>
    <w:p w:rsidR="00DD3DA1" w:rsidRPr="001A49B4" w:rsidRDefault="00DD3DA1" w:rsidP="00916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Бакшеевское</w:t>
      </w:r>
      <w:proofErr w:type="spellEnd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 входит в состав </w:t>
      </w:r>
      <w:proofErr w:type="spellStart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Омской области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. Административный центр – </w:t>
      </w:r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Бакшеево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  в </w:t>
      </w:r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км от районного центра. </w:t>
      </w:r>
      <w:proofErr w:type="spellStart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>Бакшеевское</w:t>
      </w:r>
      <w:proofErr w:type="spellEnd"/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ельское поселение </w:t>
      </w:r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расположено на площади </w:t>
      </w:r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B1F" w:rsidRPr="00DF3B1F">
        <w:rPr>
          <w:rFonts w:ascii="Times New Roman" w:hAnsi="Times New Roman"/>
          <w:sz w:val="24"/>
          <w:szCs w:val="24"/>
        </w:rPr>
        <w:t>20</w:t>
      </w:r>
      <w:r w:rsidR="009166C5">
        <w:rPr>
          <w:rFonts w:ascii="Times New Roman" w:hAnsi="Times New Roman"/>
          <w:sz w:val="24"/>
          <w:szCs w:val="24"/>
        </w:rPr>
        <w:t xml:space="preserve"> </w:t>
      </w:r>
      <w:r w:rsidR="00DF3B1F" w:rsidRPr="00DF3B1F">
        <w:rPr>
          <w:rFonts w:ascii="Times New Roman" w:hAnsi="Times New Roman"/>
          <w:sz w:val="24"/>
          <w:szCs w:val="24"/>
        </w:rPr>
        <w:t>957 га</w:t>
      </w:r>
      <w:r w:rsidR="00DF3B1F">
        <w:rPr>
          <w:rFonts w:ascii="Times New Roman" w:hAnsi="Times New Roman"/>
          <w:sz w:val="24"/>
          <w:szCs w:val="24"/>
        </w:rPr>
        <w:t>,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</w:t>
      </w:r>
      <w:r w:rsidR="00DF3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три  населенных пункта. На территории поселения проживает 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973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D3DA1" w:rsidRPr="009166C5" w:rsidRDefault="00DD3DA1" w:rsidP="009166C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6C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проблемы</w:t>
      </w:r>
    </w:p>
    <w:p w:rsidR="009166C5" w:rsidRPr="009166C5" w:rsidRDefault="009166C5" w:rsidP="009166C5">
      <w:pPr>
        <w:spacing w:after="0" w:line="240" w:lineRule="auto"/>
        <w:ind w:left="7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экономика и бюджетная сфера  характериз</w:t>
      </w:r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>уется повышенной энергоемкостью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связи с тем, что </w:t>
      </w:r>
      <w:r w:rsidR="00851AEB" w:rsidRPr="00851AEB">
        <w:rPr>
          <w:rFonts w:ascii="Times New Roman" w:hAnsi="Times New Roman"/>
          <w:sz w:val="24"/>
          <w:szCs w:val="24"/>
        </w:rPr>
        <w:t>ветхость оборудования и сетей</w:t>
      </w:r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большой процент использования ламп ДРЛ в светильниках наружного освещения</w:t>
      </w:r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При существующем уровне энергоемкости  социальной сферы муниципального образования дальнейшие изменения стоимости энергетических  ресурсов приведут к следующим негативным последствиям: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росту затрат учреждений муниципального образования на оплату энергетических ресурсов;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опережающему росту затрат на оплату коммунальных ресурсов в расходах на содержание муниципальных  учреждений культуры и вызванному этим снижению эффективности оказания услуг.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 потреблении энергии  на территории муниципального образования и прежде всего в органах местного самоуправления, муниципальных учреждениях. </w:t>
      </w:r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инструментом управления энергосбережением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br/>
        <w:t>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DD3DA1" w:rsidRPr="001A49B4" w:rsidRDefault="00DD3DA1" w:rsidP="00DD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ab/>
        <w:t>- проведение энергетических обследований;</w:t>
      </w:r>
    </w:p>
    <w:p w:rsidR="00DD3DA1" w:rsidRPr="001A49B4" w:rsidRDefault="00DD3DA1" w:rsidP="00DD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ab/>
        <w:t>- учет энергетических ресурсов;</w:t>
      </w:r>
    </w:p>
    <w:p w:rsidR="00DD3DA1" w:rsidRPr="001A49B4" w:rsidRDefault="00DD3DA1" w:rsidP="00DD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ab/>
        <w:t>- нормирование потребления энергетических ресурсов.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3.Необходимостью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Принятый Феде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ральный закон от 23.11.2009  №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261 «Об энергосбережении и о повышении энергетической эффективности и о внесении изменений в отдельные законодательн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ые акты Российской Федерации» (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Федерального закона от 28.12.2013 года №399-ФЗ) является основным документом, определяющим задачи долгосрочного социально-экономического развития  в энергетической сфере, и прямо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регионов.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- неопределенностью конъюнктуры и неразвитостью институтов рынка энергосбережения; 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</w:t>
      </w:r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>я.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4. Цели и задачи Программы</w:t>
      </w: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4.1. Цели Программы</w:t>
      </w:r>
    </w:p>
    <w:p w:rsidR="00DD3DA1" w:rsidRPr="001A49B4" w:rsidRDefault="00DD3DA1" w:rsidP="00DD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целями Программы  являются  повышение энергетической эффективности при потреблении энергетических ресурсов </w:t>
      </w:r>
      <w:proofErr w:type="spellStart"/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="00851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поселении 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а счет снижения к 20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удельных показателей энергоемкости и энергопотребления учреждений на 50 процентов, создание условий для перевода </w:t>
      </w:r>
      <w:r w:rsidRPr="001A4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экономики и бюджетной сферы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на энергосберегающий путь развития.</w:t>
      </w:r>
    </w:p>
    <w:p w:rsidR="00DD3DA1" w:rsidRPr="001A49B4" w:rsidRDefault="00DD3DA1" w:rsidP="00DD3D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4.2. Задачи Программы</w:t>
      </w:r>
    </w:p>
    <w:p w:rsidR="00DD3DA1" w:rsidRPr="001A49B4" w:rsidRDefault="00DD3DA1" w:rsidP="00DD3D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9B4">
        <w:rPr>
          <w:rFonts w:ascii="Times New Roman" w:eastAsia="Times New Roman" w:hAnsi="Times New Roman"/>
          <w:sz w:val="24"/>
          <w:szCs w:val="24"/>
          <w:lang w:eastAsia="ar-SA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2.2.1. Проведение комплекса организационно-правовых мероприятий по управлению энергосбережением, их мониторинга, а также сбора и анализа информации об энергоемкости </w:t>
      </w:r>
      <w:r w:rsidRPr="001A4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экономики и бюджетной сферы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Для этого в предстоящий период необходимо: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создание системы нормативно-методического обеспечения эффективного использования энергии и ресурсов, включая  применение энергосберегающих осветительных установок;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2.2.2.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DD3DA1" w:rsidRPr="001A49B4" w:rsidRDefault="00DD3DA1" w:rsidP="00DD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ресурсоэнергосбережению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, соответствующих или превышающих требования федеральных нормативных актов, и обеспечить их соблюдение.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Проведение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энергоаудита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, энергетических обследований.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3DA1" w:rsidRPr="001A49B4" w:rsidRDefault="00DD3DA1" w:rsidP="00DD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ab/>
        <w:t>- проведению энергетических обследований в органах местного самоуправления, муниципальных учреждениях;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проведению энергосберегающих мероприятий (проведение энергетических обследований, 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зданий, находящихся в муниципальной собственности.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2.2.4. Обеспечение учета всего объема потребляемых энергетических ресурсов.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органы местного самоуправления, муниципальные учреждениями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2.2.5. Нормирование и установление обоснованных лимитов потребления энергетических ресурсов.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Для выполнения данной задачи необходимо:</w:t>
      </w: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разработать методику нормирования и установления обоснованных нормативов и лимитов энергопотребления в органах местного самоуправления, муниципальных учреждениях;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учитывать показатели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серийно производимых машин, приборов и оборудования, при закупках для муниципальных нужд.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5. Сроки реализации Программы</w:t>
      </w:r>
    </w:p>
    <w:p w:rsidR="00DD3DA1" w:rsidRPr="001A49B4" w:rsidRDefault="00DD3DA1" w:rsidP="00DD3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в 20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>25-2030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годах.</w:t>
      </w:r>
    </w:p>
    <w:p w:rsidR="00DD3DA1" w:rsidRPr="001A49B4" w:rsidRDefault="00DD3DA1" w:rsidP="00DD3DA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Оценка </w:t>
      </w:r>
      <w:proofErr w:type="gramStart"/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социально-экономической</w:t>
      </w:r>
      <w:proofErr w:type="gramEnd"/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D3DA1" w:rsidRPr="001A49B4" w:rsidRDefault="00DD3DA1" w:rsidP="00DD3DA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эффективности реализации Программы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В ходе реализации Программы планируется достичь следующих результатов: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наличия в органах местного самоуправления, муниципальных учреждениях:</w:t>
      </w:r>
    </w:p>
    <w:p w:rsidR="00DD3DA1" w:rsidRPr="001A49B4" w:rsidRDefault="00DD3DA1" w:rsidP="00DD3DA1">
      <w:pPr>
        <w:spacing w:after="0" w:line="240" w:lineRule="auto"/>
        <w:ind w:firstLine="5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ab/>
        <w:t>-</w:t>
      </w:r>
      <w:r w:rsidR="0091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актов энергетических обследований;</w:t>
      </w:r>
    </w:p>
    <w:p w:rsidR="00DD3DA1" w:rsidRPr="001A49B4" w:rsidRDefault="00DD3DA1" w:rsidP="00DD3DA1">
      <w:pPr>
        <w:spacing w:after="0" w:line="240" w:lineRule="auto"/>
        <w:ind w:firstLine="5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ab/>
        <w:t>-установленных нормативов и лимитов энергопотребления;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сокращения удельных показателей энергоемкости и энергопотребления предприятий и организаций на территории муниципального образования на 50 процентов по сравнению с 20</w:t>
      </w:r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 xml:space="preserve">24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годом (базовый год); </w:t>
      </w:r>
    </w:p>
    <w:p w:rsidR="00DD3DA1" w:rsidRPr="001A49B4" w:rsidRDefault="00851AEB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>- снижения относительных затрат местного бюджета на оплату коммунальных ресурсов;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программных мероприятий даст дополнительные эффекты в виде: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учреждениями всех уровней и сокращение бюджетных затрат на оплату коммунальных ресурсов;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снижения затрат на энергопотребление муниципальных учреждений муниципального образования в результате реализации энергосберегающих мероприятий;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создания условий для принятия долгосрочных программ энергосбережения муниципального образования;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- внедрения в строительство современных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энергоэффективных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решений на стадии проектирования; применения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энергоэффективных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строительных материалов, технологий и конструкций, системы экспертизы энергосбережения.</w:t>
      </w:r>
    </w:p>
    <w:p w:rsidR="00DD3DA1" w:rsidRPr="001A49B4" w:rsidRDefault="00DD3DA1" w:rsidP="00DD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Выполнение программы позволит </w:t>
      </w:r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овысить безопасность эксплуатации и надежность работы оборудования благодаря переходу на менее энергоемкое оборудование. Улучшить экологическое и санитарно-эпидемиологическое состояние территории.      </w:t>
      </w:r>
    </w:p>
    <w:p w:rsidR="00DD3DA1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Pr="001A49B4" w:rsidRDefault="000B37BC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7. Механизм реализации и порядок </w:t>
      </w:r>
    </w:p>
    <w:p w:rsidR="00DD3DA1" w:rsidRPr="001A49B4" w:rsidRDefault="00DD3DA1" w:rsidP="00DD3DA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ходом реализации Программы </w:t>
      </w:r>
    </w:p>
    <w:p w:rsidR="00DD3DA1" w:rsidRPr="001A49B4" w:rsidRDefault="00DD3DA1" w:rsidP="00DD3DA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обеспечивается за счет проведения программных мероприятий на следующих уровнях:</w:t>
      </w:r>
    </w:p>
    <w:p w:rsidR="00DD3DA1" w:rsidRPr="001A49B4" w:rsidRDefault="00DD3DA1" w:rsidP="00DD3DA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муниципальные учреждения;</w:t>
      </w:r>
    </w:p>
    <w:p w:rsidR="00DD3DA1" w:rsidRPr="001A49B4" w:rsidRDefault="00DD3DA1" w:rsidP="00DD3DA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органы местного самоуправления.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программных мероприятий в учреждениях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руководитель, с учетом содержащихся в настоящем разделе рекомендаций и специфики деятельности учреждения,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в учреждении.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заказчик определяют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отраслевых показателей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, а также несет ответственность за достижение утвержденных показателей и индикаторов, позволяющих оценить ход реализации Программы.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В отношении муниципальных организаций:  муниципальных учреждений,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программных мероприятий осуществляется непосредственно муниципальным заказчиком из средств, предусмотренных на реализацию программных мероприятий по энергосбережению.</w:t>
      </w:r>
    </w:p>
    <w:p w:rsidR="00DD3DA1" w:rsidRPr="001A49B4" w:rsidRDefault="00DD3DA1" w:rsidP="00DD3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Порядок финансирования программных мероприятий устанавливает Администрация</w:t>
      </w:r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3DA1" w:rsidRPr="001A49B4" w:rsidRDefault="00DD3DA1" w:rsidP="00DD3DA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9B4">
        <w:rPr>
          <w:rFonts w:ascii="Times New Roman" w:eastAsia="Times New Roman" w:hAnsi="Times New Roman"/>
          <w:sz w:val="24"/>
          <w:szCs w:val="24"/>
          <w:lang w:eastAsia="ar-SA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DD3DA1" w:rsidRPr="001A49B4" w:rsidRDefault="00DD3DA1" w:rsidP="00DD3DA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обеспечивает реализацию программных мероприятий;</w:t>
      </w:r>
    </w:p>
    <w:p w:rsidR="00DD3DA1" w:rsidRPr="001A49B4" w:rsidRDefault="00DD3DA1" w:rsidP="00DD3D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ресурсов;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контролирует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средств;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планирует программные мероприятия на очередной финансовый год, готовит предложения по корректировке;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готовит и (или) согласовывает проекты нормативных правовых актов по вопросам энергосбережения;</w:t>
      </w:r>
    </w:p>
    <w:p w:rsidR="00DD3DA1" w:rsidRPr="001A49B4" w:rsidRDefault="00DD3DA1" w:rsidP="00DD3DA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 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DD3DA1" w:rsidRPr="001A49B4" w:rsidRDefault="00DD3DA1" w:rsidP="00DD3DA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Программой финансово-</w:t>
      </w: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экономические механизмы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механизмы стимулирования распространяются на лиц, являющихся исполнителями программных мероприятий.</w:t>
      </w: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</w:t>
      </w:r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поселении </w:t>
      </w:r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о бюджете на соответствующий финансовый год.</w:t>
      </w:r>
    </w:p>
    <w:p w:rsidR="00DD3DA1" w:rsidRPr="001A49B4" w:rsidRDefault="00DD3DA1" w:rsidP="00DD3DA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DD3DA1" w:rsidRPr="001A49B4" w:rsidRDefault="00DD3DA1" w:rsidP="00DD3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b/>
          <w:sz w:val="24"/>
          <w:szCs w:val="24"/>
          <w:lang w:eastAsia="ru-RU"/>
        </w:rPr>
        <w:t>8. Перечень мероприятий</w:t>
      </w:r>
    </w:p>
    <w:p w:rsidR="00DD3DA1" w:rsidRPr="001A49B4" w:rsidRDefault="00DD3DA1" w:rsidP="00DD3D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D3DA1" w:rsidRPr="001A49B4" w:rsidRDefault="00DD3DA1" w:rsidP="000B37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мероприятий по достижению целей и </w:t>
      </w: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Программы, обеспечивающих комплексный подход к повышению </w:t>
      </w:r>
      <w:proofErr w:type="spell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отраслей  социальной сферы  включена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в «Перечень мероприятий муниципальной целевой программы «Энергосбережения и повышения энергетической эффективности на территории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поселении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</w:t>
      </w:r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в муниципальных учреждениях»</w:t>
      </w: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7BC" w:rsidRDefault="000B37BC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D3F" w:rsidRDefault="00BD3D3F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BD3D3F" w:rsidSect="00882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DA1" w:rsidRPr="001A49B4" w:rsidRDefault="00DD3DA1" w:rsidP="00DD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DD3DA1" w:rsidRPr="001A49B4" w:rsidRDefault="00DD3DA1" w:rsidP="00DD3DA1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к муниципальной целевой                                       программе </w:t>
      </w:r>
    </w:p>
    <w:p w:rsidR="00DD3DA1" w:rsidRPr="001A49B4" w:rsidRDefault="00DD3DA1" w:rsidP="00DD3DA1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«Энергосбережение  и повышение                            энергетической эффективности </w:t>
      </w:r>
    </w:p>
    <w:p w:rsidR="000B37BC" w:rsidRDefault="00DD3DA1" w:rsidP="00DD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на территории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proofErr w:type="spellEnd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A67273" w:rsidRDefault="00A67273" w:rsidP="00DD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 Омской области</w:t>
      </w:r>
      <w:r w:rsidR="00DD3DA1"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D3DA1" w:rsidRPr="001A49B4" w:rsidRDefault="00DD3DA1" w:rsidP="00DD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0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мероприятий муниципальной целевой программы «Энергосбережения и повышения энергетической эффективности на территории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Бакшеевского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spellEnd"/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 </w:t>
      </w:r>
      <w:proofErr w:type="spellStart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proofErr w:type="spellEnd"/>
      <w:r w:rsidR="00A6727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</w:t>
      </w:r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0B37B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A49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</w:t>
      </w:r>
    </w:p>
    <w:p w:rsidR="00DD3DA1" w:rsidRPr="001A49B4" w:rsidRDefault="00DD3DA1" w:rsidP="00DD3DA1">
      <w:pPr>
        <w:spacing w:after="0" w:line="20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 w:line="20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DA1" w:rsidRPr="001A49B4" w:rsidRDefault="00DD3DA1" w:rsidP="00DD3D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711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2566"/>
        <w:gridCol w:w="386"/>
        <w:gridCol w:w="1728"/>
        <w:gridCol w:w="1590"/>
        <w:gridCol w:w="798"/>
        <w:gridCol w:w="138"/>
        <w:gridCol w:w="758"/>
        <w:gridCol w:w="94"/>
        <w:gridCol w:w="20"/>
        <w:gridCol w:w="20"/>
        <w:gridCol w:w="761"/>
        <w:gridCol w:w="57"/>
        <w:gridCol w:w="607"/>
        <w:gridCol w:w="17"/>
        <w:gridCol w:w="20"/>
        <w:gridCol w:w="651"/>
        <w:gridCol w:w="121"/>
        <w:gridCol w:w="778"/>
        <w:gridCol w:w="74"/>
        <w:gridCol w:w="40"/>
        <w:gridCol w:w="798"/>
        <w:gridCol w:w="97"/>
        <w:gridCol w:w="2237"/>
        <w:gridCol w:w="40"/>
        <w:gridCol w:w="1325"/>
      </w:tblGrid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88" w:type="pct"/>
            <w:gridSpan w:val="18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96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vMerge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тыс</w:t>
            </w:r>
            <w:proofErr w:type="gram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36" w:type="pct"/>
            <w:gridSpan w:val="15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696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vMerge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C23605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BD3D3F" w:rsidRPr="001A49B4" w:rsidRDefault="00BD3D3F" w:rsidP="00C23605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C23605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BD3D3F" w:rsidRPr="001A49B4" w:rsidRDefault="00BD3D3F" w:rsidP="00C23605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:rsidR="00BD3D3F" w:rsidRPr="001A49B4" w:rsidRDefault="00BD3D3F" w:rsidP="00C23605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ind w:left="-108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9" w:type="pct"/>
            <w:gridSpan w:val="23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«Энергосбережение в муниципальных   учреждениях сельского поселения»</w:t>
            </w:r>
          </w:p>
        </w:tc>
      </w:tr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spacing w:after="0" w:line="206" w:lineRule="auto"/>
              <w:ind w:left="-108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7" w:type="pct"/>
            <w:gridSpan w:val="9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872" w:type="pct"/>
            <w:gridSpan w:val="14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ind w:left="-108" w:right="-103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65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учета для расчета целевых показателей</w:t>
            </w:r>
          </w:p>
        </w:tc>
        <w:tc>
          <w:tcPr>
            <w:tcW w:w="63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Нагорно-Аевского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СК,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Ташетканского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474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D3D3F" w:rsidRPr="001A49B4" w:rsidRDefault="00C23605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gridSpan w:val="4"/>
            <w:shd w:val="clear" w:color="auto" w:fill="auto"/>
          </w:tcPr>
          <w:p w:rsidR="00BD3D3F" w:rsidRPr="001A49B4" w:rsidRDefault="00C23605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4"/>
            <w:shd w:val="clear" w:color="auto" w:fill="auto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целевых показателей</w:t>
            </w:r>
          </w:p>
        </w:tc>
      </w:tr>
      <w:tr w:rsidR="00BD3D3F" w:rsidRPr="001A49B4" w:rsidTr="00C23605">
        <w:trPr>
          <w:gridAfter w:val="1"/>
          <w:wAfter w:w="396" w:type="pct"/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ind w:left="-108" w:right="-103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65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графика обязательных энергетических обследований бюджетных учреждений </w:t>
            </w:r>
          </w:p>
        </w:tc>
        <w:tc>
          <w:tcPr>
            <w:tcW w:w="63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D3D3F" w:rsidRPr="001A49B4" w:rsidRDefault="00C23605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gridSpan w:val="4"/>
            <w:shd w:val="clear" w:color="auto" w:fill="auto"/>
          </w:tcPr>
          <w:p w:rsidR="00BD3D3F" w:rsidRPr="001A49B4" w:rsidRDefault="00C23605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4"/>
            <w:shd w:val="clear" w:color="auto" w:fill="auto"/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Упорядочение проведения обязательных энергетических обследований</w:t>
            </w:r>
          </w:p>
        </w:tc>
      </w:tr>
      <w:tr w:rsidR="00BD3D3F" w:rsidRPr="001A49B4" w:rsidTr="00C23605">
        <w:trPr>
          <w:gridAfter w:val="1"/>
          <w:wAfter w:w="396" w:type="pct"/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ответственных за 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энергосбережение в учреждениях</w:t>
            </w:r>
            <w:proofErr w:type="gramEnd"/>
          </w:p>
        </w:tc>
        <w:tc>
          <w:tcPr>
            <w:tcW w:w="63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 сельского 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требуется 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финансирование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gridSpan w:val="4"/>
            <w:shd w:val="clear" w:color="auto" w:fill="auto"/>
          </w:tcPr>
          <w:p w:rsidR="00BD3D3F" w:rsidRPr="001A49B4" w:rsidRDefault="00C23605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pct"/>
            <w:gridSpan w:val="3"/>
            <w:shd w:val="clear" w:color="auto" w:fill="auto"/>
          </w:tcPr>
          <w:p w:rsidR="00BD3D3F" w:rsidRPr="001A49B4" w:rsidRDefault="00C23605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4"/>
            <w:shd w:val="clear" w:color="auto" w:fill="auto"/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gridAfter w:val="1"/>
          <w:wAfter w:w="396" w:type="pct"/>
          <w:trHeight w:val="3345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Постоянный контроль, </w:t>
            </w:r>
            <w:proofErr w:type="spellStart"/>
            <w:proofErr w:type="gram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техни-ческий</w:t>
            </w:r>
            <w:proofErr w:type="spellEnd"/>
            <w:proofErr w:type="gram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финансовый учет эффекта от внедрения </w:t>
            </w:r>
            <w:proofErr w:type="spell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энерго-сберегающих</w:t>
            </w:r>
            <w:proofErr w:type="spell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</w:t>
            </w:r>
            <w:proofErr w:type="spell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энергосервисным</w:t>
            </w:r>
            <w:proofErr w:type="spell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договорам</w:t>
            </w:r>
          </w:p>
        </w:tc>
        <w:tc>
          <w:tcPr>
            <w:tcW w:w="63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Нагорно-Аевского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СК,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Ташетканского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СК, администрация сельского поселения </w:t>
            </w:r>
          </w:p>
        </w:tc>
        <w:tc>
          <w:tcPr>
            <w:tcW w:w="474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gridSpan w:val="4"/>
            <w:shd w:val="clear" w:color="auto" w:fill="auto"/>
          </w:tcPr>
          <w:p w:rsidR="00BD3D3F" w:rsidRPr="001A49B4" w:rsidRDefault="00C23605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pct"/>
            <w:gridSpan w:val="3"/>
            <w:shd w:val="clear" w:color="auto" w:fill="auto"/>
          </w:tcPr>
          <w:p w:rsidR="00BD3D3F" w:rsidRPr="001A49B4" w:rsidRDefault="00C23605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4"/>
            <w:shd w:val="clear" w:color="auto" w:fill="auto"/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gridAfter w:val="1"/>
          <w:wAfter w:w="396" w:type="pct"/>
          <w:trHeight w:val="1125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Default="00BD3D3F" w:rsidP="000B2E8B">
            <w:pPr>
              <w:spacing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1.1.5</w:t>
            </w:r>
          </w:p>
          <w:p w:rsidR="00BD3D3F" w:rsidRDefault="00BD3D3F" w:rsidP="000B2E8B">
            <w:pPr>
              <w:spacing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  <w:p w:rsidR="00331364" w:rsidRDefault="00331364" w:rsidP="000B2E8B">
            <w:pPr>
              <w:spacing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  <w:p w:rsidR="00BD3D3F" w:rsidRPr="001A49B4" w:rsidRDefault="00BD3D3F" w:rsidP="000B2E8B">
            <w:pPr>
              <w:spacing w:line="300" w:lineRule="auto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65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бесхозяйных</w:t>
            </w:r>
            <w:proofErr w:type="gramEnd"/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недвижимого</w:t>
            </w:r>
            <w:proofErr w:type="gramEnd"/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имущества, </w:t>
            </w:r>
            <w:proofErr w:type="gramStart"/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передачи электрической и</w:t>
            </w:r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тепловой энергии, воды,</w:t>
            </w:r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постановки </w:t>
            </w:r>
            <w:proofErr w:type="gramStart"/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таких объектов</w:t>
            </w:r>
          </w:p>
          <w:p w:rsidR="00331364" w:rsidRDefault="00331364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364" w:rsidRDefault="00331364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Pr="00AF188A" w:rsidRDefault="00331364" w:rsidP="000B2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ризнание права муниципальной собственности </w:t>
            </w:r>
            <w:proofErr w:type="gramStart"/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3D3F" w:rsidRPr="00AF188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бесхозяйны</w:t>
            </w:r>
            <w:r w:rsidR="00BD3D3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е</w:t>
            </w:r>
          </w:p>
          <w:p w:rsidR="00BD3D3F" w:rsidRPr="00AF188A" w:rsidRDefault="00BD3D3F" w:rsidP="000B2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F188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ы </w:t>
            </w:r>
            <w:proofErr w:type="gramStart"/>
            <w:r w:rsidRPr="00AF188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недвижимого</w:t>
            </w:r>
            <w:proofErr w:type="gramEnd"/>
          </w:p>
          <w:p w:rsidR="00BD3D3F" w:rsidRPr="00AF188A" w:rsidRDefault="00BD3D3F" w:rsidP="000B2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F188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имущества, </w:t>
            </w:r>
            <w:proofErr w:type="gramStart"/>
            <w:r w:rsidRPr="00AF188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AF188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  <w:p w:rsidR="00BD3D3F" w:rsidRPr="00AF188A" w:rsidRDefault="00BD3D3F" w:rsidP="000B2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F188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передачи электрической и</w:t>
            </w:r>
          </w:p>
          <w:p w:rsidR="00BD3D3F" w:rsidRPr="00AF188A" w:rsidRDefault="00BD3D3F" w:rsidP="000B2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F188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тепловой энергии, воды,</w:t>
            </w:r>
          </w:p>
          <w:p w:rsidR="00BD3D3F" w:rsidRPr="00A03FBE" w:rsidRDefault="00BD3D3F" w:rsidP="000B2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Pr="001A49B4" w:rsidRDefault="00BD3D3F" w:rsidP="000B2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3D3F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3D3F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364" w:rsidRDefault="00331364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364" w:rsidRDefault="00331364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3D3F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Pr="001A49B4" w:rsidRDefault="00BD3D3F" w:rsidP="000B2E8B">
            <w:pPr>
              <w:spacing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74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 сельского поселения</w:t>
            </w: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364" w:rsidRDefault="00331364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Pr="001A49B4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5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gridSpan w:val="4"/>
            <w:shd w:val="clear" w:color="auto" w:fill="auto"/>
          </w:tcPr>
          <w:p w:rsidR="00BD3D3F" w:rsidRPr="001A49B4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pct"/>
            <w:gridSpan w:val="3"/>
            <w:shd w:val="clear" w:color="auto" w:fill="auto"/>
          </w:tcPr>
          <w:p w:rsidR="00BD3D3F" w:rsidRPr="001A49B4" w:rsidRDefault="00C23605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gridSpan w:val="4"/>
            <w:shd w:val="clear" w:color="auto" w:fill="auto"/>
          </w:tcPr>
          <w:p w:rsidR="00BD3D3F" w:rsidRPr="001A49B4" w:rsidRDefault="00C23605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энергоресурсов</w:t>
            </w: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D3F" w:rsidRPr="00DD2161" w:rsidRDefault="00BD3D3F" w:rsidP="000B2E8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энергоресурсов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D3D3F" w:rsidRPr="00DD2161" w:rsidRDefault="00BD3D3F" w:rsidP="000B2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D3D3F" w:rsidRPr="00331364" w:rsidRDefault="00331364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BD3D3F"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пределение</w:t>
            </w:r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источника компенсации </w:t>
            </w:r>
            <w:proofErr w:type="gramStart"/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возникающих</w:t>
            </w:r>
            <w:proofErr w:type="gramEnd"/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их эксплуатации </w:t>
            </w: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нормативных</w:t>
            </w:r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потерь энергетических ресурсов (включая тепловую энергию, электрическую</w:t>
            </w:r>
            <w:proofErr w:type="gramEnd"/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энергию), в частности за счет включения расходов на компенсацию данных</w:t>
            </w:r>
          </w:p>
          <w:p w:rsidR="00BD3D3F" w:rsidRPr="00331364" w:rsidRDefault="00BD3D3F" w:rsidP="000B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потерь в тариф организации, управляющей такими объектами.</w:t>
            </w:r>
          </w:p>
          <w:p w:rsidR="00BD3D3F" w:rsidRDefault="00BD3D3F" w:rsidP="000B2E8B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pageBreakBefore/>
              <w:spacing w:after="0"/>
              <w:ind w:left="-108" w:right="-118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  1.2.</w:t>
            </w:r>
          </w:p>
        </w:tc>
        <w:tc>
          <w:tcPr>
            <w:tcW w:w="4279" w:type="pct"/>
            <w:gridSpan w:val="2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D3F" w:rsidRPr="001A49B4" w:rsidRDefault="00BD3D3F" w:rsidP="000B2E8B">
            <w:pPr>
              <w:pageBreakBefore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мероприятия</w:t>
            </w:r>
          </w:p>
        </w:tc>
      </w:tr>
      <w:tr w:rsidR="00BD3D3F" w:rsidRPr="001A49B4" w:rsidTr="00C23605">
        <w:trPr>
          <w:gridAfter w:val="2"/>
          <w:wAfter w:w="408" w:type="pct"/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/>
              <w:ind w:left="-108" w:right="-112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8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D71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энергетической эффективности систем освещения зданий, строений, сооружений: 20</w:t>
            </w:r>
            <w:r w:rsidR="00D71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25-2030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 замена ламп накаливания на энергосберегающие, поэтапная замена люминесцентных ламп,  на энергосберегающие, в т.ч. светодиодные).</w:t>
            </w:r>
            <w:proofErr w:type="gramEnd"/>
          </w:p>
        </w:tc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Нагорно-Аевского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СК,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Ташетканского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СК, администрация сельского поселения </w:t>
            </w:r>
          </w:p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4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BD3D3F" w:rsidRPr="001A49B4" w:rsidRDefault="00BD3D3F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" w:type="pct"/>
            <w:gridSpan w:val="3"/>
            <w:shd w:val="clear" w:color="auto" w:fill="auto"/>
          </w:tcPr>
          <w:p w:rsidR="00BD3D3F" w:rsidRPr="001A49B4" w:rsidRDefault="00BD3D3F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0" w:type="pct"/>
            <w:gridSpan w:val="3"/>
            <w:shd w:val="clear" w:color="auto" w:fill="auto"/>
          </w:tcPr>
          <w:p w:rsidR="00BD3D3F" w:rsidRPr="001A49B4" w:rsidRDefault="00BD3D3F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9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C23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потребления электроэнергии на освещение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80%</w:t>
            </w:r>
          </w:p>
        </w:tc>
      </w:tr>
      <w:tr w:rsidR="00BD3D3F" w:rsidRPr="001A49B4" w:rsidTr="00C23605">
        <w:trPr>
          <w:trHeight w:val="20"/>
        </w:trPr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/>
              <w:ind w:left="-108" w:right="-112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88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D71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энергетической эффективности систем уличного освещения  20</w:t>
            </w:r>
            <w:r w:rsidR="00D71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71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 замена ламп накаливания на энергосберегающие, поэтапная замена люминесцентных ламп, ламп ДРЛ, на энергосберегающие, в т.ч. светодиодные).</w:t>
            </w:r>
            <w:proofErr w:type="gramEnd"/>
          </w:p>
        </w:tc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4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BD3D3F" w:rsidRPr="001A49B4" w:rsidRDefault="00C23605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" w:type="pct"/>
            <w:gridSpan w:val="3"/>
            <w:shd w:val="clear" w:color="auto" w:fill="auto"/>
          </w:tcPr>
          <w:p w:rsidR="00BD3D3F" w:rsidRPr="001A49B4" w:rsidRDefault="00C23605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D3D3F"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0" w:type="pct"/>
            <w:gridSpan w:val="3"/>
            <w:shd w:val="clear" w:color="auto" w:fill="auto"/>
          </w:tcPr>
          <w:p w:rsidR="00BD3D3F" w:rsidRPr="001A49B4" w:rsidRDefault="00C23605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D3D3F"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9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C23605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D3D3F"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BD3D3F" w:rsidRPr="001A49B4" w:rsidRDefault="00BD3D3F" w:rsidP="000B2E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C23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потребления электроэнергии на освещение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4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  <w:r w:rsidR="00C2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8" w:type="pct"/>
            <w:gridSpan w:val="2"/>
            <w:tcBorders>
              <w:top w:val="nil"/>
            </w:tcBorders>
            <w:shd w:val="clear" w:color="auto" w:fill="auto"/>
          </w:tcPr>
          <w:p w:rsidR="00BD3D3F" w:rsidRPr="001A49B4" w:rsidRDefault="00BD3D3F" w:rsidP="000B2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/>
              <w:ind w:left="-108" w:right="-112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Перекладка электрических сетей для снижения потерь электрической энергии в зданиях, строениях, сооружениях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Нагорно-Аевского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СК,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Ташетканского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</w:p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бюджет отдела культуры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ED1B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ED1B0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D3D3F"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потребления электроэнергии</w:t>
            </w: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3 – 5 %*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BD3D3F" w:rsidP="00BD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/>
              <w:ind w:left="-108" w:right="-112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4</w:t>
            </w:r>
            <w:r w:rsidRPr="001A49B4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и ремонт фонарных сетей муниципального образования (наружное освещение)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 сельского поселения.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ED1B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ED1B0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ED1B0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ED1B0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  <w:r w:rsid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жилых домов, в которых организована система индивидуального поквартирного теплоснабжения от общего количества жилых домов, нуждающихся в организации системы индивидуального поквартирного теплоснабжения 100 %.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BD3D3F" w:rsidP="000B2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D3F" w:rsidRPr="001A49B4" w:rsidTr="00C23605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/>
              <w:ind w:left="-108" w:right="-112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0B2E8B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1A49B4" w:rsidRDefault="00BD3D3F" w:rsidP="00BD3D3F">
            <w:pPr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Default="00BD3D3F" w:rsidP="00BD3D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D3F" w:rsidRPr="00BD3D3F" w:rsidRDefault="00BD3D3F" w:rsidP="000B2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3F" w:rsidRPr="001A49B4" w:rsidRDefault="00BD3D3F" w:rsidP="000B2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3DA1" w:rsidRPr="001A49B4" w:rsidRDefault="00DD3DA1" w:rsidP="00DD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E62" w:rsidRPr="001A49B4" w:rsidRDefault="00065E62">
      <w:pPr>
        <w:rPr>
          <w:sz w:val="24"/>
          <w:szCs w:val="24"/>
        </w:rPr>
      </w:pPr>
    </w:p>
    <w:sectPr w:rsidR="00065E62" w:rsidRPr="001A49B4" w:rsidSect="00BD3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0B" w:rsidRDefault="00B33E0B">
      <w:pPr>
        <w:spacing w:after="0" w:line="240" w:lineRule="auto"/>
      </w:pPr>
      <w:r>
        <w:separator/>
      </w:r>
    </w:p>
  </w:endnote>
  <w:endnote w:type="continuationSeparator" w:id="0">
    <w:p w:rsidR="00B33E0B" w:rsidRDefault="00B3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0B" w:rsidRDefault="00B33E0B">
      <w:pPr>
        <w:spacing w:after="0" w:line="240" w:lineRule="auto"/>
      </w:pPr>
      <w:r>
        <w:separator/>
      </w:r>
    </w:p>
  </w:footnote>
  <w:footnote w:type="continuationSeparator" w:id="0">
    <w:p w:rsidR="00B33E0B" w:rsidRDefault="00B3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3F8"/>
    <w:multiLevelType w:val="hybridMultilevel"/>
    <w:tmpl w:val="0F6E5286"/>
    <w:lvl w:ilvl="0" w:tplc="D8724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D17DE"/>
    <w:multiLevelType w:val="hybridMultilevel"/>
    <w:tmpl w:val="12BADA12"/>
    <w:lvl w:ilvl="0" w:tplc="6F1E349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DA1"/>
    <w:rsid w:val="00065E62"/>
    <w:rsid w:val="000B37BC"/>
    <w:rsid w:val="001A49B4"/>
    <w:rsid w:val="00331364"/>
    <w:rsid w:val="003A7DAF"/>
    <w:rsid w:val="003E0406"/>
    <w:rsid w:val="004E4899"/>
    <w:rsid w:val="0066570F"/>
    <w:rsid w:val="008200D6"/>
    <w:rsid w:val="008312EC"/>
    <w:rsid w:val="00851AEB"/>
    <w:rsid w:val="008822B2"/>
    <w:rsid w:val="009166C5"/>
    <w:rsid w:val="00926A5B"/>
    <w:rsid w:val="009446A2"/>
    <w:rsid w:val="009C7E8C"/>
    <w:rsid w:val="00A576C1"/>
    <w:rsid w:val="00A60C0A"/>
    <w:rsid w:val="00A67273"/>
    <w:rsid w:val="00A85FF5"/>
    <w:rsid w:val="00AF6536"/>
    <w:rsid w:val="00B21D5B"/>
    <w:rsid w:val="00B33E0B"/>
    <w:rsid w:val="00B41307"/>
    <w:rsid w:val="00BD3D3F"/>
    <w:rsid w:val="00C23605"/>
    <w:rsid w:val="00D71CC3"/>
    <w:rsid w:val="00DD3DA1"/>
    <w:rsid w:val="00DF3B1F"/>
    <w:rsid w:val="00E8661A"/>
    <w:rsid w:val="00EC328E"/>
    <w:rsid w:val="00ED1B0F"/>
    <w:rsid w:val="00EE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3DA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6C5"/>
    <w:pPr>
      <w:ind w:left="720"/>
      <w:contextualSpacing/>
    </w:pPr>
  </w:style>
  <w:style w:type="paragraph" w:customStyle="1" w:styleId="ConsPlusNormal">
    <w:name w:val="ConsPlusNormal"/>
    <w:rsid w:val="009166C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2025-01-10T03:54:00Z</cp:lastPrinted>
  <dcterms:created xsi:type="dcterms:W3CDTF">2025-01-09T06:15:00Z</dcterms:created>
  <dcterms:modified xsi:type="dcterms:W3CDTF">2025-01-10T03:54:00Z</dcterms:modified>
</cp:coreProperties>
</file>